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1B6ED8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bookmarkStart w:id="0" w:name="_GoBack"/>
      <w:bookmarkEnd w:id="0"/>
      <w:r w:rsidRPr="001B6ED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333EA1" w:rsidRPr="001B6ED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15</w:t>
      </w:r>
    </w:p>
    <w:p w:rsidR="00FE67F0" w:rsidRPr="001B6ED8" w:rsidRDefault="00FE67F0">
      <w:pPr>
        <w:rPr>
          <w:rFonts w:ascii="Times New Roman" w:hAnsi="Times New Roman" w:cs="Times New Roman"/>
          <w:sz w:val="24"/>
          <w:szCs w:val="24"/>
        </w:rPr>
      </w:pPr>
    </w:p>
    <w:p w:rsidR="004018F7" w:rsidRPr="001B6ED8" w:rsidRDefault="006812CE" w:rsidP="004018F7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B6ED8">
        <w:rPr>
          <w:rFonts w:ascii="Times New Roman" w:hAnsi="Times New Roman" w:cs="Times New Roman"/>
          <w:b/>
          <w:sz w:val="24"/>
          <w:szCs w:val="24"/>
        </w:rPr>
        <w:t>ТЕМАТИЧНИ ОБЛАСТИ И ПРИОРИТЕТНИ ПОДОБЛАСТИ</w:t>
      </w:r>
      <w:r w:rsidR="001B6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6ED8">
        <w:rPr>
          <w:rFonts w:ascii="Times New Roman" w:hAnsi="Times New Roman" w:cs="Times New Roman"/>
          <w:b/>
          <w:sz w:val="24"/>
          <w:szCs w:val="24"/>
        </w:rPr>
        <w:t>НА</w:t>
      </w:r>
      <w:r w:rsidRPr="001B6ED8">
        <w:rPr>
          <w:rFonts w:ascii="Times New Roman" w:hAnsi="Times New Roman" w:cs="Times New Roman"/>
          <w:sz w:val="24"/>
          <w:szCs w:val="24"/>
        </w:rPr>
        <w:t xml:space="preserve"> </w:t>
      </w:r>
      <w:r w:rsidRPr="001B6ED8">
        <w:rPr>
          <w:rFonts w:ascii="Times New Roman" w:hAnsi="Times New Roman" w:cs="Times New Roman"/>
          <w:b/>
          <w:sz w:val="24"/>
          <w:szCs w:val="24"/>
        </w:rPr>
        <w:t>ИНОВАЦИОННАТА СТРАТЕГИЯ ЗА ИНТЕЛИГЕНТНА СПЕЦИАЛИЗАЦИЯ 2021-2027 г.</w:t>
      </w:r>
      <w:r w:rsidR="001B6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6ED8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5D7719">
        <w:rPr>
          <w:rFonts w:ascii="Times New Roman" w:hAnsi="Times New Roman" w:cs="Times New Roman"/>
          <w:b/>
          <w:sz w:val="24"/>
          <w:szCs w:val="24"/>
        </w:rPr>
        <w:t xml:space="preserve">ТЯХНАТА </w:t>
      </w:r>
      <w:r w:rsidR="004018F7" w:rsidRPr="001B6ED8">
        <w:rPr>
          <w:rFonts w:ascii="Times New Roman" w:hAnsi="Times New Roman" w:cs="Times New Roman"/>
          <w:b/>
          <w:sz w:val="24"/>
          <w:szCs w:val="24"/>
        </w:rPr>
        <w:t>РЕГИОНАЛИЗАЦИЯ НА НИВО NUT</w:t>
      </w:r>
      <w:r w:rsidR="004018F7" w:rsidRPr="001B6ED8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4018F7" w:rsidRPr="001B6ED8">
        <w:rPr>
          <w:rFonts w:ascii="Times New Roman" w:hAnsi="Times New Roman" w:cs="Times New Roman"/>
          <w:b/>
          <w:sz w:val="24"/>
          <w:szCs w:val="24"/>
        </w:rPr>
        <w:t xml:space="preserve"> III ЗА ВСИЧКИТЕ 28 АДМИНИСТРАТИВНИ ОБЛАСТИ В БЪЛГАРИЯ</w:t>
      </w:r>
    </w:p>
    <w:p w:rsidR="004018F7" w:rsidRPr="001B6ED8" w:rsidRDefault="004018F7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812CE" w:rsidRPr="001B6ED8" w:rsidRDefault="005D7719" w:rsidP="001B6E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812CE" w:rsidRPr="001B6ED8">
        <w:rPr>
          <w:rFonts w:ascii="Times New Roman" w:hAnsi="Times New Roman" w:cs="Times New Roman"/>
          <w:b/>
          <w:sz w:val="24"/>
          <w:szCs w:val="24"/>
        </w:rPr>
        <w:t>Тематични области и приоритетни подобласти на Иновационната стратегия за интелигентна специализация 2021-2027 г. (ИСИС 2021-2027):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1. Тематична област „Информатика и ИКТ“;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2. Тематична област „Мехатроника и микроелектроника”;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3. Тематична област „Индустрия за здравословен живот, биоикономика и биотехнологии“;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4. Тематична област „Нови технологии в креативните и рекреативните индустрии“;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5. Тематична област „Чисти технологии, кръгова и нисковъглеродна икономика“.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6ED8">
        <w:rPr>
          <w:rFonts w:ascii="Times New Roman" w:hAnsi="Times New Roman" w:cs="Times New Roman"/>
          <w:b/>
          <w:sz w:val="24"/>
          <w:szCs w:val="24"/>
        </w:rPr>
        <w:t>1. В рамките на тематична област „Информатика и ИКТ“ се включват следните приоритетни подобласти: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ИКТ-базирани услуги и системи; ИКТ подходи в машиностроене, медицина и творчески индустрии и рекреативни индустрии, кръгова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биобазирана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икономика, туризъм (във връзка с другите тематични области), вкл. дигитализация на културно-историческо наследство, развлекателни и образователни игри, теле-медицина и теле-грижа и “вградени технологии”;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- 3D дигитализация, визуализация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прототипиране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Интернет на нещата (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);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Изкуствен интелект и повишаване на промишления и технологичен капацитет в усвояване на изкуствения интелект;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големи/свързани данни,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геопространствени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данни, анализ на данни, обработка на данни (Data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processing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Small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), инструментариум за работа с данни, споделяне, обмен, използване и повторно използване на данни, облачни изчисления (Big Data,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Grid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Technologies), модели за предвиждане, основани на данни; симулация, моделиране и цифрови близнаци;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комуникационни мрежи, включително безжични сензорни мрежи и безжична комуникация/управление; 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киберфизически системи и цифрови двойници; киберсигурност;</w:t>
      </w:r>
    </w:p>
    <w:p w:rsidR="006812CE" w:rsidRPr="001B6ED8" w:rsidRDefault="006812CE" w:rsidP="000535AF">
      <w:pPr>
        <w:tabs>
          <w:tab w:val="left" w:pos="59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блокчейн технологии;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lastRenderedPageBreak/>
        <w:t>- системи и услуги в сферата на финтех;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технологии за човеко-машинно взаимодействие (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Interaction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technologies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);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интернет услуги; софтуер като услуга,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innovation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-a-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everything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-a-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SaaS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IaaS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XaaS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) и архитектура на услугата; уеб, хибридни и "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native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" приложения, уеб базирани приложения за създаване и експлоатиране на нови услуги и продукти;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 - производства, включително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Fabless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, особено на създадени в България продукти, устройства и системи.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6ED8">
        <w:rPr>
          <w:rFonts w:ascii="Times New Roman" w:hAnsi="Times New Roman" w:cs="Times New Roman"/>
          <w:b/>
          <w:sz w:val="24"/>
          <w:szCs w:val="24"/>
        </w:rPr>
        <w:t>2. В рамките на тематична област „Мехатроника и микроелектроника” се включват следните приоритетни подобласти: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Производство на базови елементи, детайли, възли и оборудване, вграждани като част от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мехатронен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агрегат или самостоятелно съставляващи такъв агрегат;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Машиностроене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уредостроене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, вкл. части, компоненти и системи, с акцент върху универсална, специализирана, специална/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кибер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/ и сервизна роботика;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Разработка и производство на електронни и електромеханични компоненти и модули;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Инженеринг,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реинженеринг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 продължаване на жизнения цикъл на индустриални машини, уреди и системи на база платформа “Индустрия 4.0” и дигитализация и цифрова трансформация на индустриалното производство;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 - Проектиране, развитие и производство на роботизирани системи за автоматизация в т.ч. и такива с изкуствен интелект; Насърчаване стартирането на серийно производство на български автономни роботи и системи; увеличено внедряване на роботи и автономни технологии в българската промишленост; използване на роботи в секторите с дългосрочен дефицит на кадри като: земеделие, хигиенни дейности, ръчни повторяеми операции и други;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Разработване, изследване и приложение на системи за технологична роботизация, с акцент на тежки процеси и агресивни среди (заваръчни процеси, леярски системи, обслужване и поддръжка на агресивни и опасни процеси и др.);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Проектиране и производство на високотехнологични и експортно ориентирани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мехатронни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продукти с висока добавена стойност вкл. в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аеро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-космическата индустрия и участие в над-национални производствени вериги; Хибридно валидиране на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мехатронни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системи чрез виртуални и физически прототипи; Автомобилна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авио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-мехатроника; 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Интелигентни системи и уреди, вкл. използващи изкуствен интелект; 3-D моделиране, проектиране и валидиране на компоненти и системи; 3-D принтиране за нуждите на индустрията;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Биомехатроника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Биоелектроника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– моделиране и характеризиране на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зарядов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пренос и обработка на сигнали в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биообекти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като протеини, DNA и др. за разработване на градивни елементи и създаване на прототипи на интегрални устройства и сензори;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Системи и технологии за развитие на Синята икономика; 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lastRenderedPageBreak/>
        <w:t>- Системи и технологии, базирани на мобилност и местоположение;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Фотоника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 технологии за изображения;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Моделиране (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device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) на полупроводникови елементи и компоненти, както и схеми и системи, съдържащи конвенционални и неконвенционални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субмикронни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наноразмерни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устройства – компактни модели, физични модели, поведенчески модели, логически модели, системни модели;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Схемно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circuit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) проектиране (ECAD), топологично (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layout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) проектиране (ECAD), технологично проектиране (TCAD) и разработване на интегрални схеми и системи – цифрови, аналогови,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смесеносигнални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, RF; Проектиране, разработване, изследване,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прототипиране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 окачествяване на специализирани аналогови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цифроаналогови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интегрални схеми (ASIC), включително EMC и ESD защита-върху-чип; Верификация и тестване на полупроводникови интегрални схеми в процеса на разработване и в процеса на производство;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Виртуални технологии за развитие на нови продукти и процеси, виртуално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прототипиране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 оптимизация;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Проектиране, разработване, характеризиране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прототипиране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на MEMS устройства и структури за сензори, RF,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биомедицински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, индустриални, земеделски, фармакология и др. приложения;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Асемблиране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корпусиране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на полупроводникови чипове;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Анализ на отказите (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failure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analysis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) в интегрални схеми, системи, устройства, модули; Разработване на софтуер за вградени системи (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embedded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), както и софтуерни решения за проектиране (EDA), вкл. с отворен код;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Синтез и характеризиране на нови материали с приложения в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наноелектрониката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Проектиране, разработване и производство на устройства, съоръжения и системи с приложение в полупроводниковите производства; Пилотни линии за експериментиране, разработване и тестване на иновативни процеси, съоръжения и технологии;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Моделиране, характеризиране, проектиране и разработване на процеси и технологии за преобразуване на събраната енергия (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energy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harvesting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), както и проектиране,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прототипиране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 производство на такива устройства;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Разработване, усъвършенстване и адаптиране на подходи, технологии за ускоряване на разработването на квантови чипове.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6ED8">
        <w:rPr>
          <w:rFonts w:ascii="Times New Roman" w:hAnsi="Times New Roman" w:cs="Times New Roman"/>
          <w:b/>
          <w:sz w:val="24"/>
          <w:szCs w:val="24"/>
        </w:rPr>
        <w:t>3. В рамките на тематична област „Индустрия за здравословен живот, биоикономика и биотехнологии“   се включват следните приоритетни подобласти: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lastRenderedPageBreak/>
        <w:t>- Производство на инструменти, оборудване, консумативи за медицинска и дентална диагностика и терапия и/или участие в над-национална производствена верига;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Персонална медицина, диагностика и индивидуална терапия, лечебни и лекарствени форми и средства;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Медицински и лечебен туризъм с акцент върху възможностите за персонализация (немасов, а персонален туризъм);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Биотехнологии с пряко приложение за здравословен начин на живот;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Въвеждане на иновативни методи в селското стопанство и рибовъдството, без използване на химически препарати за борба с вредители и торене;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Приложение на нови методи и технологии в устойчивото ползване на речни и морски ресурси;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Синя и зелена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биобазирана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икономика;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Индустриални биотехнологии;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ИКТ с приложение в тематичната област;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Ин витро, тъканно инженерство и регенеративна медицина;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Фотоника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 xml:space="preserve"> и технологии за изображения, екрани и технологии за дисплей.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6ED8">
        <w:rPr>
          <w:rFonts w:ascii="Times New Roman" w:hAnsi="Times New Roman" w:cs="Times New Roman"/>
          <w:b/>
          <w:sz w:val="24"/>
          <w:szCs w:val="24"/>
        </w:rPr>
        <w:t>4. В рамките на тематична област „Нови технологии в креативните и рекреативните индустрии“ се включват следните приоритетни подобласти: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Културните и творческите индустрии, вкл. дигитализация (според дефиниция на ЕК: архитектура, архивно дело и библиотекарство, артистично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радио);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Компютърни и мобилни приложения и игри с образователен, маркетинг и/или развлекателен характер;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Производство на стоки и съоръжения с пряко приложение в тези сфери (напр. национални (регионални) носии, велосипеди, стени за катерене и др. стоки и услуги за алтернативни и екстремни спортове и туризъм, костюми, декори, материали за исторически възстановки, специализирана екипировка и оборудване, печатни издания).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6ED8">
        <w:rPr>
          <w:rFonts w:ascii="Times New Roman" w:hAnsi="Times New Roman" w:cs="Times New Roman"/>
          <w:b/>
          <w:sz w:val="24"/>
          <w:szCs w:val="24"/>
        </w:rPr>
        <w:t>5. В рамките на тематична област „Чисти технологии, кръгова и нисковъглеродна икономика“ се включват следните приоритетни подобласти: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Иновации в областта на производството, съхранение, спестяване, ефективно разпределение и потребление на енергия, вкл. от различни възобновяеми енергийни източници;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Създаване на съвременни информационни комплекси за автономни енергийни системи;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lastRenderedPageBreak/>
        <w:t>- Водород - базирани технологии: производство на водород с акцент върху зеления водород, съхранение, транспорт и използване на водорода в индустрията, енергетиката, транспорта и бита;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 xml:space="preserve">- Разработване на иновативни устойчиви технологии за интегриране на водород в промишлени процеси, особено тези, които са по-трудни за </w:t>
      </w:r>
      <w:proofErr w:type="spellStart"/>
      <w:r w:rsidRPr="001B6ED8">
        <w:rPr>
          <w:rFonts w:ascii="Times New Roman" w:hAnsi="Times New Roman" w:cs="Times New Roman"/>
          <w:sz w:val="24"/>
          <w:szCs w:val="24"/>
        </w:rPr>
        <w:t>декарбонизация</w:t>
      </w:r>
      <w:proofErr w:type="spellEnd"/>
      <w:r w:rsidRPr="001B6ED8">
        <w:rPr>
          <w:rFonts w:ascii="Times New Roman" w:hAnsi="Times New Roman" w:cs="Times New Roman"/>
          <w:sz w:val="24"/>
          <w:szCs w:val="24"/>
        </w:rPr>
        <w:t>, като стомана, цимент и стъкло;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Разработване и внедряване на технологии свързани с устойчивата мобилност (батерийна и водородна), базирана на водород и други алтернативни горива, свързана инфраструктура и еко-мобилността;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sz w:val="24"/>
          <w:szCs w:val="24"/>
        </w:rPr>
        <w:t>- Технологии за ефективно използване на ресурсите, за намаляване съдържанието на опасни вещества, за използване на алтернативни суровини и материали, за удължаване живота на продуктите и използването им в други производства и услуги;</w:t>
      </w:r>
    </w:p>
    <w:p w:rsidR="006812CE" w:rsidRPr="001B6ED8" w:rsidRDefault="006812CE" w:rsidP="001B6ED8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B6ED8">
        <w:rPr>
          <w:rFonts w:ascii="Times New Roman" w:hAnsi="Times New Roman" w:cs="Times New Roman"/>
          <w:sz w:val="24"/>
          <w:szCs w:val="24"/>
        </w:rPr>
        <w:t>- Безотпадни технологии и методи за включване на отпадъчни продукти и материали от производства в други производства и услуги.</w:t>
      </w:r>
    </w:p>
    <w:p w:rsidR="001B6ED8" w:rsidRPr="00AF4704" w:rsidRDefault="001B6ED8" w:rsidP="001B6ED8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B6ED8" w:rsidRPr="001B6ED8" w:rsidRDefault="005D7719" w:rsidP="001B6E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r w:rsidR="001B6ED8" w:rsidRPr="001B6ED8">
        <w:rPr>
          <w:rFonts w:ascii="Times New Roman" w:hAnsi="Times New Roman" w:cs="Times New Roman"/>
          <w:b/>
          <w:sz w:val="24"/>
          <w:szCs w:val="24"/>
        </w:rPr>
        <w:t xml:space="preserve">Интелигентна специализация на България по райони, административни области на ниво </w:t>
      </w:r>
      <w:r w:rsidR="001B6ED8" w:rsidRPr="001B6ED8">
        <w:rPr>
          <w:rFonts w:ascii="Times New Roman" w:hAnsi="Times New Roman" w:cs="Times New Roman"/>
          <w:b/>
          <w:sz w:val="24"/>
          <w:szCs w:val="24"/>
          <w:lang w:val="en-US"/>
        </w:rPr>
        <w:t>NUTS III</w:t>
      </w:r>
      <w:r w:rsidR="001B6ED8" w:rsidRPr="001B6ED8">
        <w:rPr>
          <w:rFonts w:ascii="Times New Roman" w:hAnsi="Times New Roman" w:cs="Times New Roman"/>
          <w:b/>
          <w:sz w:val="24"/>
          <w:szCs w:val="24"/>
        </w:rPr>
        <w:t xml:space="preserve"> (28 области) и тематични области на ИСИС 2021-2027 г.</w:t>
      </w:r>
      <w:r w:rsidR="00AF4704">
        <w:rPr>
          <w:rFonts w:ascii="Times New Roman" w:hAnsi="Times New Roman" w:cs="Times New Roman"/>
          <w:b/>
          <w:sz w:val="24"/>
          <w:szCs w:val="24"/>
        </w:rPr>
        <w:t xml:space="preserve"> (регионализация)</w:t>
      </w:r>
      <w:r w:rsidR="001B6ED8" w:rsidRPr="001B6ED8">
        <w:rPr>
          <w:rFonts w:ascii="Times New Roman" w:hAnsi="Times New Roman" w:cs="Times New Roman"/>
          <w:b/>
          <w:sz w:val="24"/>
          <w:szCs w:val="24"/>
        </w:rPr>
        <w:t>:</w:t>
      </w:r>
    </w:p>
    <w:p w:rsidR="00D51210" w:rsidRPr="001B6ED8" w:rsidRDefault="00FE67F0">
      <w:pPr>
        <w:rPr>
          <w:rFonts w:ascii="Times New Roman" w:hAnsi="Times New Roman" w:cs="Times New Roman"/>
          <w:sz w:val="24"/>
          <w:szCs w:val="24"/>
        </w:rPr>
      </w:pPr>
      <w:r w:rsidRPr="001B6ED8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6ED8" w:rsidRPr="00AF4704" w:rsidRDefault="001B6ED8">
      <w:pPr>
        <w:rPr>
          <w:rFonts w:ascii="Times New Roman" w:hAnsi="Times New Roman" w:cs="Times New Roman"/>
          <w:sz w:val="16"/>
          <w:szCs w:val="16"/>
        </w:rPr>
      </w:pPr>
    </w:p>
    <w:sectPr w:rsidR="001B6ED8" w:rsidRPr="00AF4704" w:rsidSect="00AF4704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060" w:rsidRDefault="00423060" w:rsidP="00FE67F0">
      <w:pPr>
        <w:spacing w:after="0" w:line="240" w:lineRule="auto"/>
      </w:pPr>
      <w:r>
        <w:separator/>
      </w:r>
    </w:p>
  </w:endnote>
  <w:endnote w:type="continuationSeparator" w:id="0">
    <w:p w:rsidR="00423060" w:rsidRDefault="00423060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893270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D7719" w:rsidRPr="000535AF" w:rsidRDefault="005D771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535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535A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535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063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0535AF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5D7719" w:rsidRDefault="005D77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060" w:rsidRDefault="00423060" w:rsidP="00FE67F0">
      <w:pPr>
        <w:spacing w:after="0" w:line="240" w:lineRule="auto"/>
      </w:pPr>
      <w:r>
        <w:separator/>
      </w:r>
    </w:p>
  </w:footnote>
  <w:footnote w:type="continuationSeparator" w:id="0">
    <w:p w:rsidR="00423060" w:rsidRDefault="00423060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8E5DE0">
            <w:rPr>
              <w:rFonts w:ascii="Calibri" w:eastAsia="Calibri" w:hAnsi="Calibri" w:cs="Times New Roman"/>
              <w:noProof/>
            </w:rPr>
            <w:fldChar w:fldCharType="begin"/>
          </w:r>
          <w:r w:rsidR="008E5DE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E5DE0">
            <w:rPr>
              <w:rFonts w:ascii="Calibri" w:eastAsia="Calibri" w:hAnsi="Calibri" w:cs="Times New Roman"/>
              <w:noProof/>
            </w:rPr>
            <w:fldChar w:fldCharType="separate"/>
          </w:r>
          <w:r w:rsidR="00091B03">
            <w:rPr>
              <w:rFonts w:ascii="Calibri" w:eastAsia="Calibri" w:hAnsi="Calibri" w:cs="Times New Roman"/>
              <w:noProof/>
            </w:rPr>
            <w:fldChar w:fldCharType="begin"/>
          </w:r>
          <w:r w:rsidR="00091B0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91B03">
            <w:rPr>
              <w:rFonts w:ascii="Calibri" w:eastAsia="Calibri" w:hAnsi="Calibri" w:cs="Times New Roman"/>
              <w:noProof/>
            </w:rPr>
            <w:fldChar w:fldCharType="separate"/>
          </w:r>
          <w:r w:rsidR="002940B3">
            <w:rPr>
              <w:rFonts w:ascii="Calibri" w:eastAsia="Calibri" w:hAnsi="Calibri" w:cs="Times New Roman"/>
              <w:noProof/>
            </w:rPr>
            <w:fldChar w:fldCharType="begin"/>
          </w:r>
          <w:r w:rsidR="002940B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940B3">
            <w:rPr>
              <w:rFonts w:ascii="Calibri" w:eastAsia="Calibri" w:hAnsi="Calibri" w:cs="Times New Roman"/>
              <w:noProof/>
            </w:rPr>
            <w:fldChar w:fldCharType="separate"/>
          </w:r>
          <w:r w:rsidR="00423060">
            <w:rPr>
              <w:rFonts w:ascii="Calibri" w:eastAsia="Calibri" w:hAnsi="Calibri" w:cs="Times New Roman"/>
              <w:noProof/>
            </w:rPr>
            <w:fldChar w:fldCharType="begin"/>
          </w:r>
          <w:r w:rsidR="0042306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423060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423060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423060">
            <w:rPr>
              <w:rFonts w:ascii="Calibri" w:eastAsia="Calibri" w:hAnsi="Calibri" w:cs="Times New Roman"/>
              <w:noProof/>
            </w:rPr>
            <w:fldChar w:fldCharType="separate"/>
          </w:r>
          <w:r w:rsidR="00423060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pt;height:41.25pt;visibility:visible">
                <v:imagedata r:id="rId2" r:href="rId3"/>
              </v:shape>
            </w:pict>
          </w:r>
          <w:r w:rsidR="00423060">
            <w:rPr>
              <w:rFonts w:ascii="Calibri" w:eastAsia="Calibri" w:hAnsi="Calibri" w:cs="Times New Roman"/>
              <w:noProof/>
            </w:rPr>
            <w:fldChar w:fldCharType="end"/>
          </w:r>
          <w:r w:rsidR="002940B3">
            <w:rPr>
              <w:rFonts w:ascii="Calibri" w:eastAsia="Calibri" w:hAnsi="Calibri" w:cs="Times New Roman"/>
              <w:noProof/>
            </w:rPr>
            <w:fldChar w:fldCharType="end"/>
          </w:r>
          <w:r w:rsidR="00091B03">
            <w:rPr>
              <w:rFonts w:ascii="Calibri" w:eastAsia="Calibri" w:hAnsi="Calibri" w:cs="Times New Roman"/>
              <w:noProof/>
            </w:rPr>
            <w:fldChar w:fldCharType="end"/>
          </w:r>
          <w:r w:rsidR="008E5DE0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0535AF"/>
    <w:rsid w:val="00091B03"/>
    <w:rsid w:val="00156A0D"/>
    <w:rsid w:val="001B6ED8"/>
    <w:rsid w:val="002940B3"/>
    <w:rsid w:val="00333EA1"/>
    <w:rsid w:val="0036282C"/>
    <w:rsid w:val="004018F7"/>
    <w:rsid w:val="00423060"/>
    <w:rsid w:val="00445BEF"/>
    <w:rsid w:val="00472093"/>
    <w:rsid w:val="004D5B40"/>
    <w:rsid w:val="0051063E"/>
    <w:rsid w:val="005B47B7"/>
    <w:rsid w:val="005D7719"/>
    <w:rsid w:val="006812CE"/>
    <w:rsid w:val="006A71EE"/>
    <w:rsid w:val="008E5DE0"/>
    <w:rsid w:val="00A34673"/>
    <w:rsid w:val="00A9380B"/>
    <w:rsid w:val="00A97621"/>
    <w:rsid w:val="00AF4704"/>
    <w:rsid w:val="00C44E76"/>
    <w:rsid w:val="00D51210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  <w:style w:type="paragraph" w:styleId="BalloonText">
    <w:name w:val="Balloon Text"/>
    <w:basedOn w:val="Normal"/>
    <w:link w:val="BalloonTextChar"/>
    <w:uiPriority w:val="99"/>
    <w:semiHidden/>
    <w:unhideWhenUsed/>
    <w:rsid w:val="00681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8</cp:revision>
  <dcterms:created xsi:type="dcterms:W3CDTF">2026-01-28T16:06:00Z</dcterms:created>
  <dcterms:modified xsi:type="dcterms:W3CDTF">2026-02-05T08:17:00Z</dcterms:modified>
</cp:coreProperties>
</file>